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Project Notebook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Wednesday, January 30, 2013.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3rd Entry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Summary of Activities/Accomplishments for the previous two weeks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Most materials were obtained except collagen and desiccant column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Started cell culturing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Complete code and tentative model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Problems/Concerns/Uncompleted Goals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Vishal: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Short term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Pending: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Proliferate cells; cell culturing and sterilization techniques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Build an tentative assessment schedule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Completed: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Rohit: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Short term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Pending: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machining needs to be done (done this week)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assembly will be done next week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Completed: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Received all parts except desiccant column from DriRite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Acrylic sheets for the housing unit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Lee</w:t>
      </w:r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: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Short term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Pending: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Helping with machining and assembly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Labview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Completed: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Code and tentative model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Ritesh</w:t>
      </w:r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Short term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Pending: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Order Collagen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Completed: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PEO, NaCl, Alginate all in stock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Current Goals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Finish machining and assembly of the housing unit.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Order all remaining materials 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Check budget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Revise Gantt chart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Project Schedule changes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u w:val="single"/>
          <w:rtl w:val="0"/>
        </w:rPr>
        <w:t xml:space="preserve">Additional Notes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- Meeting with Dr. Wagner on Friday, February 1, 2013 @ 11:20 am.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2013.docx</dc:title>
</cp:coreProperties>
</file>